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footer1.xml.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media/image1.jpeg" ContentType="image/jpeg"/>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both"/>
        <w:rPr>
          <w:i/>
          <w:i/>
          <w:iCs/>
          <w:sz w:val="24"/>
          <w:szCs w:val="24"/>
        </w:rPr>
      </w:pPr>
      <w:r>
        <w:rPr>
          <w:b/>
          <w:sz w:val="28"/>
          <w:szCs w:val="28"/>
        </w:rPr>
        <w:t>Una multitudinaria manifestación exige al gobierno de coalici</w:t>
      </w:r>
      <w:r>
        <w:rPr>
          <w:rFonts w:eastAsia="Arial" w:cs="Arial"/>
          <w:b/>
          <w:color w:val="auto"/>
          <w:kern w:val="0"/>
          <w:sz w:val="28"/>
          <w:szCs w:val="28"/>
          <w:lang w:val="es-ES" w:eastAsia="es-ES" w:bidi="ar-SA"/>
        </w:rPr>
        <w:t>ón</w:t>
      </w:r>
      <w:r>
        <w:rPr>
          <w:b/>
          <w:sz w:val="28"/>
          <w:szCs w:val="28"/>
        </w:rPr>
        <w:t xml:space="preserve"> la libertad inmediata de los 6 de Zaragoza cuando cumplen un año en prisión</w:t>
      </w:r>
    </w:p>
    <w:p>
      <w:pPr>
        <w:pStyle w:val="Normal"/>
        <w:jc w:val="both"/>
        <w:rPr>
          <w:i/>
          <w:i/>
          <w:iCs/>
          <w:sz w:val="24"/>
          <w:szCs w:val="24"/>
        </w:rPr>
      </w:pPr>
      <w:r>
        <w:rPr>
          <w:i/>
          <w:iCs/>
          <w:sz w:val="24"/>
          <w:szCs w:val="24"/>
        </w:rPr>
      </w:r>
    </w:p>
    <w:p>
      <w:pPr>
        <w:pStyle w:val="Normal"/>
        <w:jc w:val="both"/>
        <w:rPr>
          <w:i/>
          <w:i/>
          <w:iCs/>
          <w:sz w:val="24"/>
          <w:szCs w:val="24"/>
        </w:rPr>
      </w:pPr>
      <w:r>
        <w:rPr>
          <w:i/>
          <w:iCs/>
          <w:sz w:val="24"/>
          <w:szCs w:val="24"/>
        </w:rPr>
        <w:t>La marcha, convocada por la plataforma “Libertad 6 de Zaragoza”, ha discurrido por las calles del centro de la capital aragonesa para finalizar en Delegaci</w:t>
      </w:r>
      <w:r>
        <w:rPr>
          <w:rFonts w:eastAsia="Arial" w:cs="Arial"/>
          <w:i/>
          <w:iCs/>
          <w:color w:val="auto"/>
          <w:kern w:val="0"/>
          <w:sz w:val="24"/>
          <w:szCs w:val="24"/>
          <w:lang w:val="es-ES" w:eastAsia="es-ES" w:bidi="ar-SA"/>
        </w:rPr>
        <w:t>ón del Gobierno. Además, desde la plataforma alerta de la urgencia de un tratamiento psiquiátrico específico fuera de prisión para uno de los jóvenes encarcelados</w:t>
      </w:r>
      <w:r>
        <w:rPr>
          <w:i/>
          <w:iCs/>
          <w:sz w:val="24"/>
          <w:szCs w:val="24"/>
        </w:rPr>
        <w:t>.</w:t>
      </w:r>
    </w:p>
    <w:p>
      <w:pPr>
        <w:pStyle w:val="Normal"/>
        <w:jc w:val="both"/>
        <w:rPr/>
      </w:pPr>
      <w:r>
        <w:rPr/>
      </w:r>
    </w:p>
    <w:p>
      <w:pPr>
        <w:pStyle w:val="Normal"/>
        <w:jc w:val="both"/>
        <w:rPr>
          <w:b/>
          <w:b/>
        </w:rPr>
      </w:pPr>
      <w:r>
        <w:rPr>
          <w:b/>
        </w:rPr>
      </w:r>
    </w:p>
    <w:p>
      <w:pPr>
        <w:pStyle w:val="Cuerpo"/>
        <w:jc w:val="both"/>
        <w:rPr>
          <w:rStyle w:val="Ninguno"/>
        </w:rPr>
      </w:pPr>
      <w:r>
        <w:rPr>
          <w:b/>
        </w:rPr>
        <w:t>S</w:t>
      </w:r>
      <w:r>
        <w:rPr>
          <w:rFonts w:eastAsia="Arial Unicode MS" w:cs="Arial Unicode MS"/>
          <w:b/>
          <w:color w:val="000000"/>
          <w:kern w:val="0"/>
          <w:sz w:val="22"/>
          <w:szCs w:val="22"/>
          <w:u w:val="none" w:color="000000"/>
          <w:lang w:val="es-ES" w:eastAsia="es-ES" w:bidi="ar-SA"/>
        </w:rPr>
        <w:t>ábado</w:t>
      </w:r>
      <w:r>
        <w:rPr>
          <w:b/>
        </w:rPr>
        <w:t>, 12 de abril de 2025</w:t>
      </w:r>
      <w:r>
        <w:rPr/>
        <w:t xml:space="preserve">.- </w:t>
      </w:r>
      <w:r>
        <w:rPr>
          <w:rFonts w:eastAsia="Arial Unicode MS" w:cs="Arial Unicode MS"/>
          <w:color w:val="000000"/>
          <w:u w:val="none" w:color="000000"/>
        </w:rPr>
        <w:t>El mi</w:t>
      </w:r>
      <w:r>
        <w:rPr>
          <w:rFonts w:eastAsia="Arial Unicode MS" w:cs="Arial Unicode MS"/>
          <w:color w:val="000000"/>
          <w:kern w:val="0"/>
          <w:sz w:val="22"/>
          <w:szCs w:val="22"/>
          <w:u w:val="none" w:color="000000"/>
          <w:lang w:val="es-ES" w:eastAsia="es-ES" w:bidi="ar-SA"/>
        </w:rPr>
        <w:t xml:space="preserve">ércoles 16 de abril se cumplirá un año desde que ingresaron en prisión los dos primeros condenados del caso conocido como “los 6 de Zaragoza”. Por este motivo, una gran manifestación, convocada por la plataforma en apoyo a los jóvenes encarcelados, ha lanzado consignas durante todo el recorrido. La movilización, que ha contado </w:t>
      </w:r>
      <w:r>
        <w:rPr>
          <w:rFonts w:eastAsia="Arial Unicode MS" w:cs="Arial Unicode MS"/>
          <w:color w:val="000000"/>
          <w:kern w:val="0"/>
          <w:sz w:val="22"/>
          <w:szCs w:val="22"/>
          <w:u w:val="none" w:color="000000"/>
          <w:shd w:fill="auto" w:val="clear"/>
          <w:lang w:val="es-ES" w:eastAsia="es-ES" w:bidi="ar-SA"/>
        </w:rPr>
        <w:t xml:space="preserve">con </w:t>
      </w:r>
      <w:r>
        <w:rPr>
          <w:rFonts w:eastAsia="Arial Unicode MS" w:cs="Arial Unicode MS"/>
          <w:color w:val="000000"/>
          <w:kern w:val="0"/>
          <w:sz w:val="22"/>
          <w:szCs w:val="22"/>
          <w:u w:val="none" w:color="000000"/>
          <w:shd w:fill="auto" w:val="clear"/>
          <w:lang w:val="es-ES" w:eastAsia="es-ES" w:bidi="ar-SA"/>
        </w:rPr>
        <w:t>3.000</w:t>
      </w:r>
      <w:r>
        <w:rPr>
          <w:rFonts w:eastAsia="Arial Unicode MS" w:cs="Arial Unicode MS"/>
          <w:color w:val="000000"/>
          <w:kern w:val="0"/>
          <w:sz w:val="22"/>
          <w:szCs w:val="22"/>
          <w:u w:val="none" w:color="000000"/>
          <w:lang w:val="es-ES" w:eastAsia="es-ES" w:bidi="ar-SA"/>
        </w:rPr>
        <w:t xml:space="preserve"> personas, se ha iniciado a las doce del medio día desde Glorieta Sasera y ha finalizado en Delegación del Gobierno en la Plaza del Pilar, donde se han realizado varias intervenciones de palabra.</w:t>
      </w:r>
    </w:p>
    <w:p>
      <w:pPr>
        <w:pStyle w:val="Cuerpo"/>
        <w:jc w:val="both"/>
        <w:rPr>
          <w:rStyle w:val="Ninguno"/>
        </w:rPr>
      </w:pPr>
      <w:r>
        <w:rPr/>
      </w:r>
    </w:p>
    <w:p>
      <w:pPr>
        <w:pStyle w:val="Cuerpo"/>
        <w:jc w:val="both"/>
        <w:rPr>
          <w:rStyle w:val="Ninguno"/>
        </w:rPr>
      </w:pPr>
      <w:r>
        <w:rPr>
          <w:rFonts w:eastAsia="Arial Unicode MS" w:cs="Arial Unicode MS"/>
          <w:color w:val="000000"/>
          <w:kern w:val="0"/>
          <w:sz w:val="22"/>
          <w:szCs w:val="22"/>
          <w:u w:val="none" w:color="000000"/>
          <w:lang w:val="es-ES" w:eastAsia="es-ES" w:bidi="ar-SA"/>
        </w:rPr>
        <w:t>En el inicio de la manifestación, el portavoz de la plataforma, Pablo Rochela, ha concedido unas declaraciones en las que ha afirmado que el encarcelamiento de los 6 de Zaragoza “se ha producido por 3 pilares necesarios: la policía, que detuvo aleatoriamente a los 6 jóvenes horas después de que se produjeran los altercados en una manifestación en 2019; la judicatura, que les ha condenado sin pruebas y les ha aplicado penas máximas por cada delito que se les imputaba; y el gobierno, que no muestra voluntad política a pesar de que tiene la capacidad y la obligación de liberarlos, y que sigue sin eliminar las leyes que hacen que nuevos casos se produzcan”.</w:t>
      </w:r>
    </w:p>
    <w:p>
      <w:pPr>
        <w:pStyle w:val="Cuerpo"/>
        <w:jc w:val="both"/>
        <w:rPr>
          <w:rStyle w:val="Ninguno"/>
        </w:rPr>
      </w:pPr>
      <w:r>
        <w:rPr/>
      </w:r>
    </w:p>
    <w:p>
      <w:pPr>
        <w:pStyle w:val="Cuerpo"/>
        <w:jc w:val="both"/>
        <w:rPr>
          <w:rStyle w:val="Ninguno"/>
        </w:rPr>
      </w:pPr>
      <w:r>
        <w:rPr>
          <w:rFonts w:eastAsia="Arial Unicode MS" w:cs="Arial Unicode MS"/>
          <w:color w:val="000000"/>
          <w:kern w:val="0"/>
          <w:sz w:val="22"/>
          <w:szCs w:val="22"/>
          <w:u w:val="none" w:color="000000"/>
          <w:lang w:val="es-ES" w:eastAsia="es-ES" w:bidi="ar-SA"/>
        </w:rPr>
        <w:t>“</w:t>
      </w:r>
      <w:r>
        <w:rPr>
          <w:rFonts w:eastAsia="Arial Unicode MS" w:cs="Arial Unicode MS"/>
          <w:color w:val="000000"/>
          <w:kern w:val="0"/>
          <w:sz w:val="22"/>
          <w:szCs w:val="22"/>
          <w:u w:val="none" w:color="000000"/>
          <w:lang w:val="es-ES" w:eastAsia="es-ES" w:bidi="ar-SA"/>
        </w:rPr>
        <w:t xml:space="preserve">El único hecho probado en el juicio es que los condenados participaron en una manifestación, por lo que hablamos de presos políticos”, sentenciaba el portavoz. “La condena se realiza sin pruebas, se basa únicamente en la palabra de la policía, que incurrió en varias contradicciones durante el juicio”, </w:t>
      </w:r>
      <w:r>
        <w:rPr>
          <w:rFonts w:eastAsia="Arial Unicode MS" w:cs="Arial Unicode MS"/>
          <w:color w:val="000000"/>
          <w:kern w:val="0"/>
          <w:sz w:val="22"/>
          <w:szCs w:val="22"/>
          <w:u w:val="none" w:color="000000"/>
          <w:lang w:val="es-ES" w:eastAsia="es-ES" w:bidi="ar-SA"/>
        </w:rPr>
        <w:t>ha añadido</w:t>
      </w:r>
      <w:r>
        <w:rPr>
          <w:rFonts w:eastAsia="Arial Unicode MS" w:cs="Arial Unicode MS"/>
          <w:color w:val="000000"/>
          <w:kern w:val="0"/>
          <w:sz w:val="22"/>
          <w:szCs w:val="22"/>
          <w:u w:val="none" w:color="000000"/>
          <w:lang w:val="es-ES" w:eastAsia="es-ES" w:bidi="ar-SA"/>
        </w:rPr>
        <w:t>.</w:t>
      </w:r>
    </w:p>
    <w:p>
      <w:pPr>
        <w:pStyle w:val="Cuerpo"/>
        <w:jc w:val="both"/>
        <w:rPr>
          <w:rStyle w:val="Ninguno"/>
        </w:rPr>
      </w:pPr>
      <w:r>
        <w:rPr/>
      </w:r>
    </w:p>
    <w:p>
      <w:pPr>
        <w:pStyle w:val="Cuerpo"/>
        <w:jc w:val="both"/>
        <w:rPr>
          <w:rStyle w:val="Ninguno"/>
        </w:rPr>
      </w:pPr>
      <w:r>
        <w:rPr>
          <w:rFonts w:eastAsia="Arial Unicode MS" w:cs="Arial Unicode MS"/>
          <w:color w:val="000000"/>
          <w:kern w:val="0"/>
          <w:sz w:val="22"/>
          <w:szCs w:val="22"/>
          <w:u w:val="none" w:color="000000"/>
          <w:lang w:val="es-ES" w:eastAsia="es-ES" w:bidi="ar-SA"/>
        </w:rPr>
        <w:t>En un informe publicado hace unos meses, la organización Amnistía Internacional ha puesto el foco en la vulneración de derechos en este juicio y ha alertado del aumento de la criminalización de la protesta. Rochela ha mencionado varios de ejemplos de procesos judiciales en sus declaraciones: activistas por la vivienda de la PAH de Zaragoza y Guadalajara, las 6 sindicalistas de la pastelería La Suiza de Gijón y las 7 estudiantes de Somosaguas.</w:t>
      </w:r>
    </w:p>
    <w:p>
      <w:pPr>
        <w:pStyle w:val="Cuerpo"/>
        <w:jc w:val="both"/>
        <w:rPr>
          <w:rStyle w:val="Ninguno"/>
        </w:rPr>
      </w:pPr>
      <w:r>
        <w:rPr/>
      </w:r>
    </w:p>
    <w:p>
      <w:pPr>
        <w:pStyle w:val="Cuerpo"/>
        <w:jc w:val="both"/>
        <w:rPr>
          <w:rStyle w:val="Ninguno"/>
        </w:rPr>
      </w:pPr>
      <w:r>
        <w:rPr>
          <w:rStyle w:val="Ninguno"/>
          <w:rFonts w:eastAsia="Arial Unicode MS" w:cs="Arial Unicode MS"/>
          <w:color w:val="000000"/>
          <w:kern w:val="0"/>
          <w:sz w:val="22"/>
          <w:szCs w:val="22"/>
          <w:u w:val="none" w:color="000000"/>
          <w:lang w:val="es-ES_tradnl" w:eastAsia="es-ES" w:bidi="ar-SA"/>
        </w:rPr>
        <w:t>La plataforma “Libertad 6 de Zaragoza” ha informado de que sigue sin tener noticias del indulto que solicitaron hace ya un año ante el Ministerio de Justicia acompañado de más de 10.000 firmas de personas y organizaciones. Pablo Rochela, en nombre de la plataforma, ha señalado al Gobierno de coalición como “responsable de cada uno de los días en prisión, especialmente al presidente Pedro Sánchez y a la vicepresidenta Yolanda Díaz como máximos representantes de PSOE y Sumar, y a Pilar Alegría, ministra y Secretaria General del PSOE de Aragón”. “Pero también a todos los diputados y diputadas que sostienen el gobierno, ya que tienen que lograr forzar la liberación si no quieren ser cómplices de esta injusticia”, ha zanjado.</w:t>
      </w:r>
    </w:p>
    <w:p>
      <w:pPr>
        <w:pStyle w:val="Cuerpo"/>
        <w:jc w:val="both"/>
        <w:rPr>
          <w:rStyle w:val="Ninguno"/>
        </w:rPr>
      </w:pPr>
      <w:r>
        <w:rPr/>
      </w:r>
    </w:p>
    <w:p>
      <w:pPr>
        <w:pStyle w:val="Cuerpo"/>
        <w:jc w:val="both"/>
        <w:rPr>
          <w:rStyle w:val="Ninguno"/>
        </w:rPr>
      </w:pPr>
      <w:r>
        <w:rPr>
          <w:rStyle w:val="Ninguno"/>
          <w:rFonts w:eastAsia="Arial Unicode MS" w:cs="Arial Unicode MS"/>
          <w:color w:val="000000"/>
          <w:kern w:val="0"/>
          <w:sz w:val="22"/>
          <w:szCs w:val="22"/>
          <w:u w:val="none" w:color="000000"/>
          <w:lang w:val="es-ES_tradnl" w:eastAsia="es-ES" w:bidi="ar-SA"/>
        </w:rPr>
        <w:t>En la rueda de prensa del pasado jueves, otra portavoz de la plataforma, Olga Belenguer, informó del sufrimiento que las familias están padeciendo con este caso, tanto a nivel emocional como económico, por la “cantidad enorme de gastos en prisión, además de las multas, que una familia de clase trabajadora apenas puede mantener”.</w:t>
      </w:r>
    </w:p>
    <w:p>
      <w:pPr>
        <w:pStyle w:val="Cuerpo"/>
        <w:jc w:val="both"/>
        <w:rPr>
          <w:rStyle w:val="Ninguno"/>
        </w:rPr>
      </w:pPr>
      <w:r>
        <w:rPr/>
      </w:r>
    </w:p>
    <w:p>
      <w:pPr>
        <w:pStyle w:val="Cuerpo"/>
        <w:jc w:val="both"/>
        <w:rPr>
          <w:rStyle w:val="Ninguno"/>
        </w:rPr>
      </w:pPr>
      <w:r>
        <w:rPr>
          <w:rStyle w:val="Ninguno"/>
          <w:rFonts w:eastAsia="Arial Unicode MS" w:cs="Arial Unicode MS"/>
          <w:color w:val="000000"/>
          <w:kern w:val="0"/>
          <w:sz w:val="22"/>
          <w:szCs w:val="22"/>
          <w:u w:val="none" w:color="000000"/>
          <w:lang w:val="es-ES_tradnl" w:eastAsia="es-ES" w:bidi="ar-SA"/>
        </w:rPr>
        <w:t>En este sentido, añadió un información sobre el delicado estado de salud mental de Imad, uno de los jóvenes en prisión. Belenguer comunicó que existe un informe pericial sobre su situación psiquiátrica y que los abogados de la plataforma han solicitado el tercer grado para que pueda ser sometido a un tratamiento específico fuera de la cárcel. Sin embargo, “Instituciones penitenciarias lo rechaza constantemente, lo que demuestra una alarmante falta de sensibilidad y de humanidad”.</w:t>
      </w:r>
    </w:p>
    <w:p>
      <w:pPr>
        <w:pStyle w:val="Cuerpo"/>
        <w:jc w:val="both"/>
        <w:rPr>
          <w:rStyle w:val="Ninguno"/>
        </w:rPr>
      </w:pPr>
      <w:r>
        <w:rPr/>
      </w:r>
    </w:p>
    <w:p>
      <w:pPr>
        <w:pStyle w:val="Cuerpo"/>
        <w:jc w:val="both"/>
        <w:rPr/>
      </w:pPr>
      <w:r>
        <w:rPr>
          <w:rStyle w:val="Ninguno"/>
          <w:rFonts w:eastAsia="Arial Unicode MS" w:cs="Arial Unicode MS"/>
          <w:color w:val="000000"/>
          <w:kern w:val="0"/>
          <w:sz w:val="22"/>
          <w:szCs w:val="22"/>
          <w:u w:val="none" w:color="000000"/>
          <w:shd w:fill="auto" w:val="clear"/>
          <w:lang w:val="es-ES_tradnl" w:eastAsia="es-ES" w:bidi="ar-SA"/>
        </w:rPr>
        <w:t xml:space="preserve">Al final de la manifestación, varias personas han tomado la palabra. En </w:t>
      </w:r>
      <w:r>
        <w:rPr>
          <w:rStyle w:val="Ninguno"/>
          <w:rFonts w:eastAsia="Arial Unicode MS" w:cs="Arial Unicode MS"/>
          <w:color w:val="000000"/>
          <w:kern w:val="0"/>
          <w:sz w:val="22"/>
          <w:szCs w:val="22"/>
          <w:u w:val="none" w:color="000000"/>
          <w:shd w:fill="auto" w:val="clear"/>
          <w:lang w:val="es-ES_tradnl" w:eastAsia="es-ES" w:bidi="ar-SA"/>
        </w:rPr>
        <w:t>primer lugar</w:t>
      </w:r>
      <w:r>
        <w:rPr>
          <w:rStyle w:val="Ninguno"/>
          <w:rFonts w:eastAsia="Arial Unicode MS" w:cs="Arial Unicode MS"/>
          <w:color w:val="000000"/>
          <w:kern w:val="0"/>
          <w:sz w:val="22"/>
          <w:szCs w:val="22"/>
          <w:u w:val="none" w:color="000000"/>
          <w:shd w:fill="auto" w:val="clear"/>
          <w:lang w:val="es-ES_tradnl" w:eastAsia="es-ES" w:bidi="ar-SA"/>
        </w:rPr>
        <w:t xml:space="preserve">, </w:t>
      </w:r>
      <w:r>
        <w:rPr>
          <w:rStyle w:val="Ninguno"/>
          <w:rFonts w:eastAsia="Arial Unicode MS" w:cs="Arial Unicode MS"/>
          <w:color w:val="000000"/>
          <w:kern w:val="0"/>
          <w:sz w:val="22"/>
          <w:szCs w:val="22"/>
          <w:u w:val="none" w:color="000000"/>
          <w:shd w:fill="auto" w:val="clear"/>
          <w:lang w:val="es-ES_tradnl" w:eastAsia="es-ES" w:bidi="ar-SA"/>
        </w:rPr>
        <w:t>Mar</w:t>
      </w:r>
      <w:r>
        <w:rPr>
          <w:rStyle w:val="Ninguno"/>
          <w:rFonts w:eastAsia="Arial Unicode MS" w:cs="Arial Unicode MS"/>
          <w:color w:val="000000"/>
          <w:kern w:val="0"/>
          <w:sz w:val="22"/>
          <w:szCs w:val="22"/>
          <w:u w:val="none" w:color="000000"/>
          <w:shd w:fill="auto" w:val="clear"/>
          <w:lang w:val="es-ES_tradnl" w:eastAsia="es-ES" w:bidi="ar-SA"/>
        </w:rPr>
        <w:t xml:space="preserve">ía Bernad, portavoz de la plataforma, </w:t>
      </w:r>
      <w:r>
        <w:rPr>
          <w:rStyle w:val="Ninguno"/>
          <w:rFonts w:eastAsia="Arial Unicode MS" w:cs="Arial Unicode MS"/>
          <w:color w:val="000000"/>
          <w:kern w:val="0"/>
          <w:sz w:val="22"/>
          <w:szCs w:val="22"/>
          <w:u w:val="none" w:color="000000"/>
          <w:shd w:fill="auto" w:val="clear"/>
          <w:lang w:val="es-ES_tradnl" w:eastAsia="es-ES" w:bidi="ar-SA"/>
        </w:rPr>
        <w:t>que ha leído un manifiesto en el que ha hecho un repaso del caso desde el inicio y cómo afecta a las familias, incidiendo en la injusticia que se está cometiendo y en la responsabilidad del gobierno.</w:t>
      </w:r>
      <w:r>
        <w:rPr>
          <w:rStyle w:val="Ninguno"/>
          <w:rFonts w:eastAsia="Arial Unicode MS" w:cs="Arial Unicode MS"/>
          <w:color w:val="000000"/>
          <w:kern w:val="0"/>
          <w:sz w:val="22"/>
          <w:szCs w:val="22"/>
          <w:u w:val="none" w:color="000000"/>
          <w:shd w:fill="auto" w:val="clear"/>
          <w:lang w:val="es-ES_tradnl" w:eastAsia="es-ES" w:bidi="ar-SA"/>
        </w:rPr>
        <w:t xml:space="preserve"> Como cierre, ha enumerado las reivindicaciones de la plataforma “Libertad 6 de Zaragoza”: libertad inmediata de los 6 de Zaragoza, derogación de la Ley Mordaza, reforma no punitiva del Código penal y fin a las infiltraciones policiales en colectivos sociales. </w:t>
      </w:r>
      <w:r>
        <w:rPr>
          <w:rStyle w:val="Ninguno"/>
          <w:rFonts w:eastAsia="Arial Unicode MS" w:cs="Arial Unicode MS"/>
          <w:color w:val="000000"/>
          <w:kern w:val="0"/>
          <w:sz w:val="22"/>
          <w:szCs w:val="22"/>
          <w:u w:val="none" w:color="000000"/>
          <w:shd w:fill="auto" w:val="clear"/>
          <w:lang w:val="es-ES_tradnl" w:eastAsia="es-ES" w:bidi="ar-SA"/>
        </w:rPr>
        <w:t>P</w:t>
      </w:r>
      <w:r>
        <w:rPr>
          <w:rStyle w:val="Ninguno"/>
          <w:rFonts w:eastAsia="Arial Unicode MS" w:cs="Arial Unicode MS"/>
          <w:color w:val="000000"/>
          <w:kern w:val="0"/>
          <w:sz w:val="22"/>
          <w:szCs w:val="22"/>
          <w:u w:val="none" w:color="000000"/>
          <w:shd w:fill="auto" w:val="clear"/>
          <w:lang w:val="es-ES_tradnl" w:eastAsia="es-ES" w:bidi="ar-SA"/>
        </w:rPr>
        <w:t xml:space="preserve">osteriormente, se </w:t>
      </w:r>
      <w:r>
        <w:rPr>
          <w:rStyle w:val="Ninguno"/>
          <w:rFonts w:eastAsia="Arial Unicode MS" w:cs="Arial Unicode MS"/>
          <w:color w:val="000000"/>
          <w:kern w:val="0"/>
          <w:sz w:val="22"/>
          <w:szCs w:val="22"/>
          <w:u w:val="none" w:color="000000"/>
          <w:shd w:fill="auto" w:val="clear"/>
          <w:lang w:val="es-ES_tradnl" w:eastAsia="es-ES" w:bidi="ar-SA"/>
        </w:rPr>
        <w:t>ha</w:t>
      </w:r>
      <w:r>
        <w:rPr>
          <w:rStyle w:val="Ninguno"/>
          <w:rFonts w:eastAsia="Arial Unicode MS" w:cs="Arial Unicode MS"/>
          <w:color w:val="000000"/>
          <w:kern w:val="0"/>
          <w:sz w:val="22"/>
          <w:szCs w:val="22"/>
          <w:u w:val="none" w:color="000000"/>
          <w:shd w:fill="auto" w:val="clear"/>
          <w:lang w:val="es-ES_tradnl" w:eastAsia="es-ES" w:bidi="ar-SA"/>
        </w:rPr>
        <w:t>n</w:t>
      </w:r>
      <w:r>
        <w:rPr>
          <w:rStyle w:val="Ninguno"/>
          <w:rFonts w:eastAsia="Arial Unicode MS" w:cs="Arial Unicode MS"/>
          <w:color w:val="000000"/>
          <w:kern w:val="0"/>
          <w:sz w:val="22"/>
          <w:szCs w:val="22"/>
          <w:u w:val="none" w:color="000000"/>
          <w:shd w:fill="auto" w:val="clear"/>
          <w:lang w:val="es-ES_tradnl" w:eastAsia="es-ES" w:bidi="ar-SA"/>
        </w:rPr>
        <w:t xml:space="preserve"> leído dos cartas de los jóvenes en prisión, que han agradecido todo el apoyo y solidaridad demostrado en este último año y animan a seguir </w:t>
      </w:r>
      <w:r>
        <w:rPr>
          <w:rStyle w:val="Ninguno"/>
          <w:rFonts w:eastAsia="Arial Unicode MS" w:cs="Arial Unicode MS"/>
          <w:color w:val="000000"/>
          <w:kern w:val="0"/>
          <w:sz w:val="22"/>
          <w:szCs w:val="22"/>
          <w:u w:val="none" w:color="000000"/>
          <w:shd w:fill="auto" w:val="clear"/>
          <w:lang w:val="es-ES_tradnl" w:eastAsia="es-ES" w:bidi="ar-SA"/>
        </w:rPr>
        <w:t>moviliz</w:t>
      </w:r>
      <w:r>
        <w:rPr>
          <w:rStyle w:val="Ninguno"/>
          <w:rFonts w:eastAsia="Arial Unicode MS" w:cs="Arial Unicode MS"/>
          <w:color w:val="000000"/>
          <w:kern w:val="0"/>
          <w:sz w:val="22"/>
          <w:szCs w:val="22"/>
          <w:u w:val="none" w:color="000000"/>
          <w:shd w:fill="auto" w:val="clear"/>
          <w:lang w:val="es-ES_tradnl" w:eastAsia="es-ES" w:bidi="ar-SA"/>
        </w:rPr>
        <w:t>ándose</w:t>
      </w:r>
      <w:r>
        <w:rPr>
          <w:rStyle w:val="Ninguno"/>
          <w:rFonts w:eastAsia="Arial Unicode MS" w:cs="Arial Unicode MS"/>
          <w:color w:val="000000"/>
          <w:kern w:val="0"/>
          <w:sz w:val="22"/>
          <w:szCs w:val="22"/>
          <w:u w:val="none" w:color="000000"/>
          <w:shd w:fill="auto" w:val="clear"/>
          <w:lang w:val="es-ES_tradnl" w:eastAsia="es-ES" w:bidi="ar-SA"/>
        </w:rPr>
        <w:t xml:space="preserve"> por su libertad, </w:t>
      </w:r>
      <w:r>
        <w:rPr>
          <w:rStyle w:val="Ninguno"/>
          <w:rFonts w:eastAsia="Arial Unicode MS" w:cs="Arial Unicode MS"/>
          <w:color w:val="000000"/>
          <w:kern w:val="0"/>
          <w:sz w:val="22"/>
          <w:szCs w:val="22"/>
          <w:u w:val="none" w:color="000000"/>
          <w:shd w:fill="auto" w:val="clear"/>
          <w:lang w:val="es-ES_tradnl" w:eastAsia="es-ES" w:bidi="ar-SA"/>
        </w:rPr>
        <w:t>ya que “manifestarse frente a los discursos de odio de la extrema derecha no es un delito, sino una obligaci</w:t>
      </w:r>
      <w:r>
        <w:rPr>
          <w:rStyle w:val="Ninguno"/>
          <w:rFonts w:eastAsia="Arial Unicode MS" w:cs="Arial Unicode MS"/>
          <w:color w:val="000000"/>
          <w:kern w:val="0"/>
          <w:sz w:val="22"/>
          <w:szCs w:val="22"/>
          <w:u w:val="none" w:color="000000"/>
          <w:shd w:fill="auto" w:val="clear"/>
          <w:lang w:val="es-ES_tradnl" w:eastAsia="es-ES" w:bidi="ar-SA"/>
        </w:rPr>
        <w:t>ón democrática</w:t>
      </w:r>
      <w:r>
        <w:rPr>
          <w:rStyle w:val="Ninguno"/>
          <w:rFonts w:eastAsia="Arial Unicode MS" w:cs="Arial Unicode MS"/>
          <w:color w:val="000000"/>
          <w:kern w:val="0"/>
          <w:sz w:val="22"/>
          <w:szCs w:val="22"/>
          <w:u w:val="none" w:color="000000"/>
          <w:shd w:fill="auto" w:val="clear"/>
          <w:lang w:val="es-ES_tradnl" w:eastAsia="es-ES" w:bidi="ar-SA"/>
        </w:rPr>
        <w:t>”</w:t>
      </w:r>
      <w:r>
        <w:rPr>
          <w:rStyle w:val="Ninguno"/>
          <w:rFonts w:eastAsia="Arial Unicode MS" w:cs="Arial Unicode MS"/>
          <w:color w:val="000000"/>
          <w:kern w:val="0"/>
          <w:sz w:val="22"/>
          <w:szCs w:val="22"/>
          <w:u w:val="none" w:color="000000"/>
          <w:shd w:fill="auto" w:val="clear"/>
          <w:lang w:val="es-ES_tradnl" w:eastAsia="es-ES" w:bidi="ar-SA"/>
        </w:rPr>
        <w:t>.</w:t>
      </w:r>
    </w:p>
    <w:p>
      <w:pPr>
        <w:pStyle w:val="Cuerpo"/>
        <w:jc w:val="both"/>
        <w:rPr>
          <w:rStyle w:val="Ninguno"/>
        </w:rPr>
      </w:pPr>
      <w:r>
        <w:rPr/>
      </w:r>
    </w:p>
    <w:p>
      <w:pPr>
        <w:pStyle w:val="Cuerpo"/>
        <w:jc w:val="both"/>
        <w:rPr>
          <w:rStyle w:val="Ninguno"/>
        </w:rPr>
      </w:pPr>
      <w:r>
        <w:rPr>
          <w:rStyle w:val="Ninguno"/>
          <w:rFonts w:eastAsia="Arial Unicode MS" w:cs="Arial Unicode MS"/>
          <w:color w:val="000000"/>
          <w:kern w:val="0"/>
          <w:sz w:val="22"/>
          <w:szCs w:val="22"/>
          <w:u w:val="none" w:color="000000"/>
          <w:lang w:val="es-ES_tradnl" w:eastAsia="es-ES" w:bidi="ar-SA"/>
        </w:rPr>
        <w:t>Para finalizar</w:t>
      </w:r>
      <w:r>
        <w:rPr>
          <w:rStyle w:val="Ninguno"/>
          <w:rFonts w:eastAsia="Arial Unicode MS" w:cs="Arial Unicode MS"/>
          <w:color w:val="000000"/>
          <w:kern w:val="0"/>
          <w:sz w:val="22"/>
          <w:szCs w:val="22"/>
          <w:u w:val="none" w:color="000000"/>
          <w:lang w:val="es-ES_tradnl" w:eastAsia="es-ES" w:bidi="ar-SA"/>
        </w:rPr>
        <w:t>, ha</w:t>
      </w:r>
      <w:r>
        <w:rPr>
          <w:rStyle w:val="Ninguno"/>
          <w:rFonts w:eastAsia="Arial Unicode MS" w:cs="Arial Unicode MS"/>
          <w:color w:val="000000"/>
          <w:kern w:val="0"/>
          <w:sz w:val="22"/>
          <w:szCs w:val="22"/>
          <w:u w:val="none" w:color="000000"/>
          <w:lang w:val="es-ES_tradnl" w:eastAsia="es-ES" w:bidi="ar-SA"/>
        </w:rPr>
        <w:t>n</w:t>
      </w:r>
      <w:r>
        <w:rPr>
          <w:rStyle w:val="Ninguno"/>
          <w:rFonts w:eastAsia="Arial Unicode MS" w:cs="Arial Unicode MS"/>
          <w:color w:val="000000"/>
          <w:kern w:val="0"/>
          <w:sz w:val="22"/>
          <w:szCs w:val="22"/>
          <w:u w:val="none" w:color="000000"/>
          <w:lang w:val="es-ES_tradnl" w:eastAsia="es-ES" w:bidi="ar-SA"/>
        </w:rPr>
        <w:t xml:space="preserve"> intervenido </w:t>
      </w:r>
      <w:r>
        <w:rPr>
          <w:rStyle w:val="Ninguno"/>
          <w:rFonts w:eastAsia="Arial Unicode MS" w:cs="Arial Unicode MS"/>
          <w:color w:val="000000"/>
          <w:kern w:val="0"/>
          <w:sz w:val="22"/>
          <w:szCs w:val="22"/>
          <w:u w:val="none" w:color="000000"/>
          <w:lang w:val="es-ES_tradnl" w:eastAsia="es-ES" w:bidi="ar-SA"/>
        </w:rPr>
        <w:t>varios representantes de otros activistas encausados en diversos procesos judiciales. Primero,</w:t>
      </w:r>
      <w:r>
        <w:rPr>
          <w:rStyle w:val="Ninguno"/>
          <w:rFonts w:eastAsia="Arial Unicode MS" w:cs="Arial Unicode MS"/>
          <w:color w:val="000000"/>
          <w:kern w:val="0"/>
          <w:sz w:val="22"/>
          <w:szCs w:val="22"/>
          <w:u w:val="none" w:color="000000"/>
          <w:lang w:val="es-ES_tradnl" w:eastAsia="es-ES" w:bidi="ar-SA"/>
        </w:rPr>
        <w:t xml:space="preserve"> un representante del grupo de apoyo a los encausados de Pego, en Alicante, que estuvieron procesados judicialmente de 2020 a 2024 por hacer frente en dicha localidad a un grupo de neonazis que atacaron a varias personas. Posteriormente, ha sido el turno de la plataforma “Las 7 de Somosaguas”, un grupo de estudiantes que han sido llamadas a declarar judicialmente este lunes 14 de abril por una protesta en la universidad madrileña ante el reconocido líder ultraderechista Espinosa de los Monteros. </w:t>
      </w:r>
      <w:r>
        <w:rPr>
          <w:rStyle w:val="Ninguno"/>
          <w:rFonts w:eastAsia="Arial Unicode MS" w:cs="Arial Unicode MS"/>
          <w:color w:val="000000"/>
          <w:kern w:val="0"/>
          <w:sz w:val="22"/>
          <w:szCs w:val="22"/>
          <w:u w:val="none" w:color="000000"/>
          <w:lang w:val="es-ES_tradnl" w:eastAsia="es-ES" w:bidi="ar-SA"/>
        </w:rPr>
        <w:t>Como colof</w:t>
      </w:r>
      <w:r>
        <w:rPr>
          <w:rStyle w:val="Ninguno"/>
          <w:rFonts w:eastAsia="Arial Unicode MS" w:cs="Arial Unicode MS"/>
          <w:color w:val="000000"/>
          <w:kern w:val="0"/>
          <w:sz w:val="22"/>
          <w:szCs w:val="22"/>
          <w:u w:val="none" w:color="000000"/>
          <w:lang w:val="es-ES_tradnl" w:eastAsia="es-ES" w:bidi="ar-SA"/>
        </w:rPr>
        <w:t>ón,</w:t>
      </w:r>
      <w:r>
        <w:rPr>
          <w:rStyle w:val="Ninguno"/>
          <w:rFonts w:eastAsia="Arial Unicode MS" w:cs="Arial Unicode MS"/>
          <w:color w:val="000000"/>
          <w:kern w:val="0"/>
          <w:sz w:val="22"/>
          <w:szCs w:val="22"/>
          <w:u w:val="none" w:color="000000"/>
          <w:lang w:val="es-ES_tradnl" w:eastAsia="es-ES" w:bidi="ar-SA"/>
        </w:rPr>
        <w:t xml:space="preserve"> ha intervenido un portavoz de la Plataforma de Afectados por la Hipoteca de Zaragoza, que explicó los procesos judiciales en los que están inmersos por acceder pacíficamente en oficinas de CaixaBank durante los meses previos a un desahucio de uno de sus integrantes.</w:t>
      </w:r>
    </w:p>
    <w:p>
      <w:pPr>
        <w:pStyle w:val="Cuerpo"/>
        <w:jc w:val="both"/>
        <w:rPr>
          <w:rStyle w:val="Ninguno"/>
        </w:rPr>
      </w:pPr>
      <w:r>
        <w:rPr/>
      </w:r>
    </w:p>
    <w:p>
      <w:pPr>
        <w:pStyle w:val="Cuerpo"/>
        <w:jc w:val="both"/>
        <w:rPr>
          <w:rStyle w:val="Ninguno"/>
        </w:rPr>
      </w:pPr>
      <w:r>
        <w:rPr>
          <w:rStyle w:val="Ninguno"/>
          <w:rFonts w:eastAsia="Arial Unicode MS" w:cs="Arial Unicode MS"/>
          <w:color w:val="000000"/>
          <w:u w:val="none" w:color="000000"/>
        </w:rPr>
        <w:t>La manifestaci</w:t>
      </w:r>
      <w:r>
        <w:rPr>
          <w:rStyle w:val="Ninguno"/>
          <w:rFonts w:eastAsia="Arial Unicode MS" w:cs="Arial Unicode MS"/>
          <w:color w:val="000000"/>
          <w:kern w:val="0"/>
          <w:sz w:val="22"/>
          <w:szCs w:val="22"/>
          <w:u w:val="none" w:color="000000"/>
          <w:lang w:val="es-ES" w:eastAsia="es-ES" w:bidi="ar-SA"/>
        </w:rPr>
        <w:t>ón de hoy</w:t>
      </w:r>
      <w:r>
        <w:rPr>
          <w:rStyle w:val="Ninguno"/>
          <w:rFonts w:eastAsia="Arial Unicode MS" w:cs="Arial Unicode MS"/>
          <w:color w:val="000000"/>
          <w:u w:val="none" w:color="000000"/>
        </w:rPr>
        <w:t xml:space="preserve"> es la culminación de unas semanas llenas de actividades y eventos en las que la plataforma ha querido continuar denunciando el caso. En primer lugar, se celebr</w:t>
      </w:r>
      <w:r>
        <w:rPr>
          <w:rStyle w:val="Ninguno"/>
          <w:rFonts w:eastAsia="Arial Unicode MS" w:cs="Arial Unicode MS"/>
          <w:color w:val="000000"/>
          <w:kern w:val="0"/>
          <w:sz w:val="22"/>
          <w:szCs w:val="22"/>
          <w:u w:val="none" w:color="000000"/>
          <w:lang w:val="es-ES" w:eastAsia="es-ES" w:bidi="ar-SA"/>
        </w:rPr>
        <w:t>ó una jornada musical solidaria en el CSO La Fábrika de chocolate el pasado 22 de marzo. Unos días más tarde, el viernes 28 de marzo, una cadena humana desde la Delegación del Gobierno hasta la Audiencia Provincial de Zaragoza. Esa misma semana, el domingo 30 de marzo, se realizó la XXII edición de la anual Marcha contra la macrocárcel de Zuera, en la que hubo conciertos, charlas y programas de radio en los alrededores de la prisión.</w:t>
      </w:r>
    </w:p>
    <w:p>
      <w:pPr>
        <w:pStyle w:val="Cuerpo"/>
        <w:jc w:val="both"/>
        <w:rPr>
          <w:rStyle w:val="Ninguno"/>
          <w:lang w:val="es-ES_tradnl"/>
        </w:rPr>
      </w:pPr>
      <w:r>
        <w:rPr>
          <w:lang w:val="es-ES_tradnl"/>
        </w:rPr>
      </w:r>
    </w:p>
    <w:p>
      <w:pPr>
        <w:pStyle w:val="Cuerpo"/>
        <w:jc w:val="both"/>
        <w:rPr/>
      </w:pPr>
      <w:r>
        <w:rPr/>
        <w:t>La condena impuesta a los cuatro jóvenes en prisión de los 6 de Zaragoza asciende a 4 años y 9 meses de cárcel por manifestarse en enero de 2019 ante los discursos de odio lanzados durante un mitin de VOX. Una condena que llegó tras 5 años de proceso judicial culminado con la condena del Tribunal Supremo y que ha generado miles de muestras de solidaridad en forma de firmas en apoyo al indulto, aportaciones económicas, mensajes en redes sociales y participación en manifestaciones y concentraciones en todo el Estado.</w:t>
      </w:r>
    </w:p>
    <w:sectPr>
      <w:headerReference w:type="default" r:id="rId2"/>
      <w:footerReference w:type="default" r:id="rId3"/>
      <w:type w:val="nextPage"/>
      <w:pgSz w:w="11906" w:h="16838"/>
      <w:pgMar w:left="1133" w:right="1133" w:gutter="0" w:header="720" w:top="777" w:footer="720" w:bottom="777"/>
      <w:pgNumType w:start="1" w:fmt="decimal"/>
      <w:formProt w:val="false"/>
      <w:textDirection w:val="lrTb"/>
      <w:docGrid w:type="default" w:linePitch="100" w:charSpace="2867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auto"/>
    <w:pitch w:val="default"/>
  </w:font>
  <w:font w:name="Ubuntu">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jc w:val="right"/>
      <w:rPr/>
    </w:pPr>
    <w:r>
      <w:rPr/>
    </w:r>
  </w:p>
  <w:p>
    <w:pPr>
      <w:pStyle w:val="Normal"/>
      <w:jc w:val="right"/>
      <w:rPr/>
    </w:pPr>
    <w:r>
      <w:rPr/>
      <mc:AlternateContent>
        <mc:Choice Requires="wps">
          <w:drawing>
            <wp:inline distT="0" distB="0" distL="0" distR="0">
              <wp:extent cx="6121400" cy="19050"/>
              <wp:effectExtent l="114300" t="0" r="114300" b="0"/>
              <wp:docPr id="3" name="Forma2"/>
              <a:graphic xmlns:a="http://schemas.openxmlformats.org/drawingml/2006/main">
                <a:graphicData uri="http://schemas.microsoft.com/office/word/2010/wordprocessingShape">
                  <wps:wsp>
                    <wps:cNvSpPr/>
                    <wps:spPr>
                      <a:xfrm>
                        <a:off x="0" y="0"/>
                        <a:ext cx="612144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2" path="m0,0l-2147483645,0l-2147483645,-2147483646l0,-2147483646xe" fillcolor="#a0a0a0" stroked="f" o:allowincell="f" style="position:absolute;margin-left:0pt;margin-top:-1.55pt;width:481.95pt;height:1.45pt;mso-wrap-style:none;v-text-anchor:middle;mso-position-vertical:top">
              <v:fill o:detectmouseclick="t" type="solid" color2="#5f5f5f"/>
              <v:stroke color="#3465a4" joinstyle="round" endcap="flat"/>
              <w10:wrap type="square"/>
            </v:rect>
          </w:pict>
        </mc:Fallback>
      </mc:AlternateContent>
    </w:r>
  </w:p>
  <w:tbl>
    <w:tblPr>
      <w:tblW w:w="9990" w:type="dxa"/>
      <w:jc w:val="left"/>
      <w:tblInd w:w="-165" w:type="dxa"/>
      <w:tblLayout w:type="fixed"/>
      <w:tblCellMar>
        <w:top w:w="100" w:type="dxa"/>
        <w:left w:w="100" w:type="dxa"/>
        <w:bottom w:w="100" w:type="dxa"/>
        <w:right w:w="100" w:type="dxa"/>
      </w:tblCellMar>
      <w:tblLook w:val="0600" w:noHBand="1" w:noVBand="1" w:firstColumn="0" w:lastRow="0" w:lastColumn="0" w:firstRow="0"/>
    </w:tblPr>
    <w:tblGrid>
      <w:gridCol w:w="4538"/>
      <w:gridCol w:w="4642"/>
      <w:gridCol w:w="810"/>
    </w:tblGrid>
    <w:tr>
      <w:trPr/>
      <w:tc>
        <w:tcPr>
          <w:tcW w:w="4538" w:type="dxa"/>
          <w:tcBorders/>
          <w:shd w:color="auto" w:fill="auto" w:val="clear"/>
        </w:tcPr>
        <w:p>
          <w:pPr>
            <w:pStyle w:val="Normal"/>
            <w:widowControl w:val="false"/>
            <w:spacing w:lineRule="auto" w:line="240"/>
            <w:rPr/>
          </w:pPr>
          <w:hyperlink r:id="rId1">
            <w:r>
              <w:rPr>
                <w:rStyle w:val="EnlacedeInternet"/>
                <w:color w:val="auto"/>
                <w:u w:val="none"/>
              </w:rPr>
              <w:t>libertad6dezaragoza.info</w:t>
            </w:r>
          </w:hyperlink>
        </w:p>
        <w:p>
          <w:pPr>
            <w:pStyle w:val="Normal"/>
            <w:widowControl w:val="false"/>
            <w:spacing w:lineRule="auto" w:line="240"/>
            <w:rPr/>
          </w:pPr>
          <w:hyperlink r:id="rId2">
            <w:r>
              <w:rPr>
                <w:rStyle w:val="EnlacedeInternet"/>
                <w:color w:val="auto"/>
                <w:u w:val="none"/>
              </w:rPr>
              <w:t>contacto@libertad6dezaragoza.info</w:t>
            </w:r>
          </w:hyperlink>
        </w:p>
      </w:tc>
      <w:tc>
        <w:tcPr>
          <w:tcW w:w="4642" w:type="dxa"/>
          <w:tcBorders/>
          <w:shd w:color="auto" w:fill="auto" w:val="clear"/>
        </w:tcPr>
        <w:p>
          <w:pPr>
            <w:pStyle w:val="Normal"/>
            <w:widowControl w:val="false"/>
            <w:rPr/>
          </w:pPr>
          <w:hyperlink r:id="rId3">
            <w:r>
              <w:rPr>
                <w:rStyle w:val="EnlacedeInternet"/>
                <w:color w:val="auto"/>
                <w:u w:val="none"/>
              </w:rPr>
              <w:t>x.com/Libertad6Zgz</w:t>
            </w:r>
          </w:hyperlink>
        </w:p>
        <w:p>
          <w:pPr>
            <w:pStyle w:val="Normal"/>
            <w:widowControl w:val="false"/>
            <w:rPr/>
          </w:pPr>
          <w:hyperlink r:id="rId4">
            <w:r>
              <w:rPr>
                <w:rStyle w:val="EnlacedeInternet"/>
                <w:color w:val="auto"/>
                <w:u w:val="none"/>
              </w:rPr>
              <w:t>instagram.com/libertad6zgz</w:t>
            </w:r>
          </w:hyperlink>
        </w:p>
        <w:p>
          <w:pPr>
            <w:pStyle w:val="Normal"/>
            <w:widowControl w:val="false"/>
            <w:rPr/>
          </w:pPr>
          <w:r>
            <w:rPr>
              <w:rStyle w:val="EnlacedeInternet"/>
              <w:color w:val="auto"/>
              <w:u w:val="none"/>
            </w:rPr>
            <w:t>bsky.app/profile/libertad6zgz.bsky.social</w:t>
          </w:r>
        </w:p>
      </w:tc>
      <w:tc>
        <w:tcPr>
          <w:tcW w:w="810" w:type="dxa"/>
          <w:tcBorders/>
          <w:shd w:color="auto" w:fill="auto" w:val="clear"/>
          <w:vAlign w:val="bottom"/>
        </w:tcPr>
        <w:p>
          <w:pPr>
            <w:pStyle w:val="Normal"/>
            <w:widowControl w:val="false"/>
            <w:jc w:val="right"/>
            <w:rPr/>
          </w:pPr>
          <w:r>
            <w:rPr/>
            <w:fldChar w:fldCharType="begin"/>
          </w:r>
          <w:r>
            <w:rPr/>
            <w:instrText xml:space="preserve"> PAGE </w:instrText>
          </w:r>
          <w:r>
            <w:rPr/>
            <w:fldChar w:fldCharType="separate"/>
          </w:r>
          <w:r>
            <w:rPr/>
            <w:t>3</w:t>
          </w:r>
          <w:r>
            <w:rPr/>
            <w:fldChar w:fldCharType="end"/>
          </w:r>
        </w:p>
      </w:tc>
    </w:tr>
  </w:tbl>
  <w:p>
    <w:pPr>
      <w:pStyle w:val="Normal"/>
      <w:rPr>
        <w:sz w:val="2"/>
        <w:szCs w:val="2"/>
      </w:rPr>
    </w:pPr>
    <w:r>
      <w:rPr>
        <w:sz w:val="2"/>
        <w:szCs w:val="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rPr>
        <w:sz w:val="2"/>
        <w:szCs w:val="2"/>
      </w:rPr>
    </w:pPr>
    <w:r>
      <w:rPr>
        <w:sz w:val="2"/>
        <w:szCs w:val="2"/>
      </w:rPr>
    </w:r>
  </w:p>
  <w:tbl>
    <w:tblPr>
      <w:tblW w:w="10215" w:type="dxa"/>
      <w:jc w:val="center"/>
      <w:tblInd w:w="0" w:type="dxa"/>
      <w:tblLayout w:type="fixed"/>
      <w:tblCellMar>
        <w:top w:w="100" w:type="dxa"/>
        <w:left w:w="100" w:type="dxa"/>
        <w:bottom w:w="100" w:type="dxa"/>
        <w:right w:w="100" w:type="dxa"/>
      </w:tblCellMar>
      <w:tblLook w:val="0600" w:noHBand="1" w:noVBand="1" w:firstColumn="0" w:lastRow="0" w:lastColumn="0" w:firstRow="0"/>
    </w:tblPr>
    <w:tblGrid>
      <w:gridCol w:w="1101"/>
      <w:gridCol w:w="3773"/>
      <w:gridCol w:w="3844"/>
      <w:gridCol w:w="1496"/>
    </w:tblGrid>
    <w:tr>
      <w:trPr>
        <w:trHeight w:val="1044" w:hRule="atLeast"/>
      </w:trPr>
      <w:tc>
        <w:tcPr>
          <w:tcW w:w="1101" w:type="dxa"/>
          <w:tcBorders/>
          <w:shd w:color="auto" w:fill="auto" w:val="clear"/>
          <w:vAlign w:val="center"/>
        </w:tcPr>
        <w:p>
          <w:pPr>
            <w:pStyle w:val="Normal"/>
            <w:widowControl w:val="false"/>
            <w:rPr/>
          </w:pPr>
          <w:r>
            <w:rPr/>
            <w:drawing>
              <wp:inline distT="0" distB="0" distL="0" distR="0">
                <wp:extent cx="571500" cy="571500"/>
                <wp:effectExtent l="0" t="0" r="0" b="0"/>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1"/>
                        <a:stretch>
                          <a:fillRect/>
                        </a:stretch>
                      </pic:blipFill>
                      <pic:spPr bwMode="auto">
                        <a:xfrm>
                          <a:off x="0" y="0"/>
                          <a:ext cx="571500" cy="571500"/>
                        </a:xfrm>
                        <a:prstGeom prst="rect">
                          <a:avLst/>
                        </a:prstGeom>
                      </pic:spPr>
                    </pic:pic>
                  </a:graphicData>
                </a:graphic>
              </wp:inline>
            </w:drawing>
          </w:r>
        </w:p>
      </w:tc>
      <w:tc>
        <w:tcPr>
          <w:tcW w:w="3773" w:type="dxa"/>
          <w:tcBorders/>
          <w:shd w:color="auto" w:fill="auto" w:val="clear"/>
          <w:vAlign w:val="center"/>
        </w:tcPr>
        <w:p>
          <w:pPr>
            <w:pStyle w:val="Normal"/>
            <w:widowControl w:val="false"/>
            <w:rPr>
              <w:b/>
              <w:b/>
            </w:rPr>
          </w:pPr>
          <w:r>
            <w:rPr>
              <w:b/>
            </w:rPr>
            <w:t>Libertad 6 de Zaragoza</w:t>
          </w:r>
        </w:p>
      </w:tc>
      <w:tc>
        <w:tcPr>
          <w:tcW w:w="3844" w:type="dxa"/>
          <w:tcBorders/>
          <w:shd w:color="auto" w:fill="auto" w:val="clear"/>
          <w:vAlign w:val="center"/>
        </w:tcPr>
        <w:p>
          <w:pPr>
            <w:pStyle w:val="Normal"/>
            <w:widowControl w:val="false"/>
            <w:spacing w:lineRule="auto" w:line="240"/>
            <w:rPr>
              <w:b/>
              <w:b/>
              <w:sz w:val="24"/>
              <w:szCs w:val="24"/>
              <w:u w:val="single"/>
            </w:rPr>
          </w:pPr>
          <w:r>
            <w:rPr>
              <w:b/>
              <w:sz w:val="24"/>
              <w:szCs w:val="24"/>
              <w:u w:val="single"/>
            </w:rPr>
            <w:t>Nota de prensa</w:t>
          </w:r>
        </w:p>
      </w:tc>
      <w:tc>
        <w:tcPr>
          <w:tcW w:w="1496" w:type="dxa"/>
          <w:tcBorders/>
          <w:shd w:color="auto" w:fill="auto" w:val="clear"/>
          <w:vAlign w:val="center"/>
        </w:tcPr>
        <w:p>
          <w:pPr>
            <w:pStyle w:val="Normal"/>
            <w:widowControl w:val="false"/>
            <w:spacing w:lineRule="auto" w:line="240"/>
            <w:jc w:val="right"/>
            <w:rPr>
              <w:i/>
              <w:i/>
            </w:rPr>
          </w:pPr>
          <w:r>
            <w:rPr>
              <w:i/>
            </w:rPr>
            <w:t>12/04/2025</w:t>
          </w:r>
        </w:p>
      </w:tc>
    </w:tr>
  </w:tbl>
  <w:p>
    <w:pPr>
      <w:pStyle w:val="Normal"/>
      <w:rPr/>
    </w:pPr>
    <w:r>
      <w:rPr/>
      <mc:AlternateContent>
        <mc:Choice Requires="wps">
          <w:drawing>
            <wp:inline distT="0" distB="0" distL="0" distR="0">
              <wp:extent cx="635" cy="19050"/>
              <wp:effectExtent l="114300" t="0" r="114300" b="0"/>
              <wp:docPr id="2" name="Forma1"/>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w="0">
                        <a:noFill/>
                      </a:ln>
                    </wps:spPr>
                    <wps:style>
                      <a:lnRef idx="0"/>
                      <a:fillRef idx="0"/>
                      <a:effectRef idx="0"/>
                      <a:fontRef idx="minor"/>
                    </wps:style>
                    <wps:bodyPr/>
                  </wps:wsp>
                </a:graphicData>
              </a:graphic>
            </wp:inline>
          </w:drawing>
        </mc:Choice>
        <mc:Fallback>
          <w:pict>
            <v:rect id="shape_0" ID="Forma1" path="m0,0l-2147483645,0l-2147483645,-2147483646l0,-2147483646xe" fillcolor="#a0a0a0" stroked="f" o:allowincell="f" style="position:absolute;margin-left:0pt;margin-top:-1.55pt;width:0pt;height:1.45pt;mso-wrap-style:none;v-text-anchor:middle;mso-position-vertical:top">
              <v:fill o:detectmouseclick="t" type="solid" color2="#5f5f5f"/>
              <v:stroke color="#3465a4" joinstyle="round" endcap="flat"/>
              <w10:wrap type="square"/>
            </v:rect>
          </w:pict>
        </mc:Fallback>
      </mc:AlternateContent>
    </w:r>
  </w:p>
  <w:p>
    <w:pPr>
      <w:pStyle w:val="Normal"/>
      <w:rPr/>
    </w:pPr>
    <w:r>
      <w:rPr/>
    </w:r>
  </w:p>
</w:hdr>
</file>

<file path=word/settings.xml><?xml version="1.0" encoding="utf-8"?>
<w:settings xmlns:w="http://schemas.openxmlformats.org/wordprocessingml/2006/main">
  <w:zoom w:percent="14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es-ES" w:eastAsia="es-E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0"/>
      <w:jc w:val="left"/>
    </w:pPr>
    <w:rPr>
      <w:rFonts w:ascii="Arial" w:hAnsi="Arial" w:eastAsia="Arial" w:cs="Arial"/>
      <w:color w:val="auto"/>
      <w:kern w:val="0"/>
      <w:sz w:val="22"/>
      <w:szCs w:val="22"/>
      <w:lang w:val="es-ES" w:eastAsia="es-ES" w:bidi="ar-SA"/>
    </w:rPr>
  </w:style>
  <w:style w:type="paragraph" w:styleId="Ttulo1">
    <w:name w:val="Heading 1"/>
    <w:basedOn w:val="Normal"/>
    <w:next w:val="Normal"/>
    <w:qFormat/>
    <w:pPr>
      <w:keepNext w:val="true"/>
      <w:keepLines/>
      <w:spacing w:before="400" w:after="120"/>
      <w:outlineLvl w:val="0"/>
    </w:pPr>
    <w:rPr>
      <w:sz w:val="40"/>
      <w:szCs w:val="40"/>
    </w:rPr>
  </w:style>
  <w:style w:type="paragraph" w:styleId="Ttulo2">
    <w:name w:val="Heading 2"/>
    <w:basedOn w:val="Normal"/>
    <w:next w:val="Normal"/>
    <w:qFormat/>
    <w:pPr>
      <w:keepNext w:val="true"/>
      <w:keepLines/>
      <w:spacing w:before="360" w:after="120"/>
      <w:outlineLvl w:val="1"/>
    </w:pPr>
    <w:rPr>
      <w:sz w:val="32"/>
      <w:szCs w:val="32"/>
    </w:rPr>
  </w:style>
  <w:style w:type="paragraph" w:styleId="Ttulo3">
    <w:name w:val="Heading 3"/>
    <w:basedOn w:val="Normal"/>
    <w:next w:val="Normal"/>
    <w:qFormat/>
    <w:pPr>
      <w:keepNext w:val="true"/>
      <w:keepLines/>
      <w:spacing w:before="320" w:after="80"/>
      <w:outlineLvl w:val="2"/>
    </w:pPr>
    <w:rPr>
      <w:color w:val="434343"/>
      <w:sz w:val="28"/>
      <w:szCs w:val="28"/>
    </w:rPr>
  </w:style>
  <w:style w:type="paragraph" w:styleId="Ttulo4">
    <w:name w:val="Heading 4"/>
    <w:basedOn w:val="Normal"/>
    <w:next w:val="Normal"/>
    <w:qFormat/>
    <w:pPr>
      <w:keepNext w:val="true"/>
      <w:keepLines/>
      <w:spacing w:before="280" w:after="80"/>
      <w:outlineLvl w:val="3"/>
    </w:pPr>
    <w:rPr>
      <w:color w:val="666666"/>
      <w:sz w:val="24"/>
      <w:szCs w:val="24"/>
    </w:rPr>
  </w:style>
  <w:style w:type="paragraph" w:styleId="Ttulo5">
    <w:name w:val="Heading 5"/>
    <w:basedOn w:val="Normal"/>
    <w:next w:val="Normal"/>
    <w:qFormat/>
    <w:pPr>
      <w:keepNext w:val="true"/>
      <w:keepLines/>
      <w:spacing w:before="240" w:after="80"/>
      <w:outlineLvl w:val="4"/>
    </w:pPr>
    <w:rPr>
      <w:color w:val="666666"/>
    </w:rPr>
  </w:style>
  <w:style w:type="paragraph" w:styleId="Ttulo6">
    <w:name w:val="Heading 6"/>
    <w:basedOn w:val="Normal"/>
    <w:next w:val="Normal"/>
    <w:qFormat/>
    <w:pPr>
      <w:keepNext w:val="true"/>
      <w:keepLines/>
      <w:spacing w:before="240" w:after="80"/>
      <w:outlineLvl w:val="5"/>
    </w:pPr>
    <w:rPr>
      <w:i/>
      <w:color w:val="666666"/>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uiPriority w:val="99"/>
    <w:qFormat/>
    <w:rsid w:val="00d20b05"/>
    <w:rPr/>
  </w:style>
  <w:style w:type="character" w:styleId="PiedepginaCar" w:customStyle="1">
    <w:name w:val="Pie de página Car"/>
    <w:basedOn w:val="DefaultParagraphFont"/>
    <w:uiPriority w:val="99"/>
    <w:qFormat/>
    <w:rsid w:val="00d20b05"/>
    <w:rPr/>
  </w:style>
  <w:style w:type="character" w:styleId="EnlacedeInternet">
    <w:name w:val="Enlace de Internet"/>
    <w:basedOn w:val="DefaultParagraphFont"/>
    <w:uiPriority w:val="99"/>
    <w:unhideWhenUsed/>
    <w:rsid w:val="00e505ce"/>
    <w:rPr>
      <w:color w:val="0000FF" w:themeColor="hyperlink"/>
      <w:u w:val="single"/>
    </w:rPr>
  </w:style>
  <w:style w:type="character" w:styleId="Css1qaijid" w:customStyle="1">
    <w:name w:val="css-1qaijid"/>
    <w:basedOn w:val="DefaultParagraphFont"/>
    <w:qFormat/>
    <w:rsid w:val="00fe4b91"/>
    <w:rPr/>
  </w:style>
  <w:style w:type="character" w:styleId="EnlacedeInternetvisitado" w:customStyle="1">
    <w:name w:val="Enlace de Internet visitado"/>
    <w:basedOn w:val="DefaultParagraphFont"/>
    <w:uiPriority w:val="99"/>
    <w:semiHidden/>
    <w:unhideWhenUsed/>
    <w:rsid w:val="004c4f98"/>
    <w:rPr>
      <w:color w:val="800080" w:themeColor="followedHyperlink"/>
      <w:u w:val="single"/>
    </w:rPr>
  </w:style>
  <w:style w:type="character" w:styleId="Ninguno" w:customStyle="1">
    <w:name w:val="Ninguno"/>
    <w:qFormat/>
    <w:rsid w:val="00e505ce"/>
    <w:rPr/>
  </w:style>
  <w:style w:type="character" w:styleId="Hyperlink1" w:customStyle="1">
    <w:name w:val="Hyperlink.1"/>
    <w:basedOn w:val="EnlacedeInternet"/>
    <w:qFormat/>
    <w:rsid w:val="00e505ce"/>
    <w:rPr>
      <w:outline w:val="false"/>
      <w:color w:val="0000FF"/>
      <w:u w:val="single" w:color="0000FF"/>
    </w:rPr>
  </w:style>
  <w:style w:type="paragraph" w:styleId="Ttulo">
    <w:name w:val="Título"/>
    <w:basedOn w:val="Normal"/>
    <w:next w:val="Cuerpodetexto"/>
    <w:qFormat/>
    <w:pPr>
      <w:keepNext w:val="true"/>
      <w:spacing w:before="240" w:after="120"/>
    </w:pPr>
    <w:rPr>
      <w:rFonts w:ascii="Ubuntu" w:hAnsi="Ubuntu" w:eastAsia="Noto Sans CJK SC" w:cs="Lohit Devanagari"/>
      <w:sz w:val="28"/>
      <w:szCs w:val="28"/>
    </w:rPr>
  </w:style>
  <w:style w:type="paragraph" w:styleId="Cuerpodetexto">
    <w:name w:val="Body Text"/>
    <w:basedOn w:val="Normal"/>
    <w:pPr>
      <w:spacing w:before="0" w:after="140"/>
    </w:pPr>
    <w:rPr/>
  </w:style>
  <w:style w:type="paragraph" w:styleId="Lista">
    <w:name w:val="List"/>
    <w:basedOn w:val="Cuerpodetexto"/>
    <w:pPr/>
    <w:rPr>
      <w:rFonts w:ascii="Ubuntu" w:hAnsi="Ubuntu" w:cs="Lohit Devanagari"/>
    </w:rPr>
  </w:style>
  <w:style w:type="paragraph" w:styleId="Leyenda">
    <w:name w:val="Caption"/>
    <w:basedOn w:val="Normal"/>
    <w:qFormat/>
    <w:pPr>
      <w:suppressLineNumbers/>
      <w:spacing w:before="120" w:after="120"/>
    </w:pPr>
    <w:rPr>
      <w:rFonts w:ascii="Ubuntu" w:hAnsi="Ubuntu" w:cs="Lohit Devanagari"/>
      <w:i/>
      <w:iCs/>
      <w:sz w:val="24"/>
      <w:szCs w:val="24"/>
    </w:rPr>
  </w:style>
  <w:style w:type="paragraph" w:styleId="Ndice" w:customStyle="1">
    <w:name w:val="Índice"/>
    <w:basedOn w:val="Normal"/>
    <w:qFormat/>
    <w:pPr>
      <w:suppressLineNumbers/>
    </w:pPr>
    <w:rPr>
      <w:rFonts w:ascii="Ubuntu" w:hAnsi="Ubuntu" w:cs="Lohit Devanagari"/>
    </w:rPr>
  </w:style>
  <w:style w:type="paragraph" w:styleId="Ttulogeneral">
    <w:name w:val="Title"/>
    <w:basedOn w:val="Normal"/>
    <w:next w:val="Cuerpodetexto"/>
    <w:qFormat/>
    <w:pPr>
      <w:keepNext w:val="true"/>
      <w:keepLines/>
      <w:spacing w:before="0" w:after="60"/>
    </w:pPr>
    <w:rPr>
      <w:sz w:val="52"/>
      <w:szCs w:val="52"/>
    </w:rPr>
  </w:style>
  <w:style w:type="paragraph" w:styleId="Caption">
    <w:name w:val="caption"/>
    <w:basedOn w:val="Normal"/>
    <w:qFormat/>
    <w:pPr>
      <w:suppressLineNumbers/>
      <w:spacing w:before="120" w:after="120"/>
    </w:pPr>
    <w:rPr>
      <w:i/>
      <w:iCs/>
      <w:sz w:val="24"/>
      <w:szCs w:val="24"/>
    </w:rPr>
  </w:style>
  <w:style w:type="paragraph" w:styleId="Ttulo11" w:customStyle="1">
    <w:name w:val="Título1"/>
    <w:basedOn w:val="Normal"/>
    <w:next w:val="Cuerpodetexto"/>
    <w:qFormat/>
    <w:pPr>
      <w:keepNext w:val="true"/>
      <w:spacing w:before="240" w:after="120"/>
    </w:pPr>
    <w:rPr>
      <w:rFonts w:ascii="Ubuntu" w:hAnsi="Ubuntu" w:eastAsia="Noto Sans CJK SC" w:cs="Lohit Devanagari"/>
      <w:sz w:val="28"/>
      <w:szCs w:val="28"/>
    </w:rPr>
  </w:style>
  <w:style w:type="paragraph" w:styleId="Caption1" w:customStyle="1">
    <w:name w:val="caption1"/>
    <w:basedOn w:val="Normal"/>
    <w:qFormat/>
    <w:pPr>
      <w:suppressLineNumbers/>
      <w:spacing w:before="120" w:after="120"/>
    </w:pPr>
    <w:rPr>
      <w:rFonts w:ascii="Ubuntu" w:hAnsi="Ubuntu" w:cs="Lohit Devanagari"/>
      <w:i/>
      <w:iCs/>
      <w:sz w:val="24"/>
      <w:szCs w:val="24"/>
    </w:rPr>
  </w:style>
  <w:style w:type="paragraph" w:styleId="Subttulo">
    <w:name w:val="Subtitle"/>
    <w:basedOn w:val="Normal"/>
    <w:next w:val="Normal"/>
    <w:qFormat/>
    <w:pPr>
      <w:keepNext w:val="true"/>
      <w:keepLines/>
      <w:spacing w:before="0" w:after="320"/>
    </w:pPr>
    <w:rPr>
      <w:color w:val="666666"/>
      <w:sz w:val="30"/>
      <w:szCs w:val="30"/>
    </w:rPr>
  </w:style>
  <w:style w:type="paragraph" w:styleId="Cabeceraypie" w:customStyle="1">
    <w:name w:val="Cabecera y pie"/>
    <w:basedOn w:val="Normal"/>
    <w:qFormat/>
    <w:pPr/>
    <w:rPr/>
  </w:style>
  <w:style w:type="paragraph" w:styleId="Cabecera">
    <w:name w:val="Header"/>
    <w:basedOn w:val="Normal"/>
    <w:link w:val="EncabezadoCar"/>
    <w:uiPriority w:val="99"/>
    <w:unhideWhenUsed/>
    <w:rsid w:val="00d20b05"/>
    <w:pPr>
      <w:tabs>
        <w:tab w:val="clear" w:pos="720"/>
        <w:tab w:val="center" w:pos="4252" w:leader="none"/>
        <w:tab w:val="right" w:pos="8504" w:leader="none"/>
      </w:tabs>
      <w:spacing w:lineRule="auto" w:line="240"/>
    </w:pPr>
    <w:rPr/>
  </w:style>
  <w:style w:type="paragraph" w:styleId="Piedepgina">
    <w:name w:val="Footer"/>
    <w:basedOn w:val="Normal"/>
    <w:link w:val="PiedepginaCar"/>
    <w:uiPriority w:val="99"/>
    <w:unhideWhenUsed/>
    <w:rsid w:val="00d20b05"/>
    <w:pPr>
      <w:tabs>
        <w:tab w:val="clear" w:pos="720"/>
        <w:tab w:val="center" w:pos="4252" w:leader="none"/>
        <w:tab w:val="right" w:pos="8504" w:leader="none"/>
      </w:tabs>
      <w:spacing w:lineRule="auto" w:line="240"/>
    </w:pPr>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paragraph" w:styleId="Cuerpo" w:customStyle="1">
    <w:name w:val="Cuerpo"/>
    <w:qFormat/>
    <w:rsid w:val="00e505ce"/>
    <w:pPr>
      <w:widowControl/>
      <w:suppressAutoHyphens w:val="true"/>
      <w:bidi w:val="0"/>
      <w:spacing w:lineRule="auto" w:line="276" w:before="0" w:after="0"/>
      <w:jc w:val="left"/>
    </w:pPr>
    <w:rPr>
      <w:rFonts w:ascii="Arial" w:hAnsi="Arial" w:eastAsia="Arial Unicode MS" w:cs="Arial Unicode MS"/>
      <w:color w:val="000000"/>
      <w:kern w:val="0"/>
      <w:sz w:val="22"/>
      <w:szCs w:val="22"/>
      <w:u w:val="none" w:color="000000"/>
      <w:lang w:val="es-ES" w:eastAsia="es-ES" w:bidi="ar-SA"/>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customStyle="1" w:styleId="TableNormal1">
    <w:name w:val="Table Normal1"/>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https://libertad6dezaragoza.info/" TargetMode="External"/><Relationship Id="rId2" Type="http://schemas.openxmlformats.org/officeDocument/2006/relationships/hyperlink" Target="mailto:contacto@libertad6dezaragoza.info" TargetMode="External"/><Relationship Id="rId3" Type="http://schemas.openxmlformats.org/officeDocument/2006/relationships/hyperlink" Target="https://x.com/Libertad6Zgz/" TargetMode="External"/><Relationship Id="rId4" Type="http://schemas.openxmlformats.org/officeDocument/2006/relationships/hyperlink" Target="https://www.instagram.com/libertad6zgz/" TargetMode="Externa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242</TotalTime>
  <Application>LibreOffice/7.3.7.2$Linux_X86_64 LibreOffice_project/30$Build-2</Application>
  <AppVersion>15.0000</AppVersion>
  <Pages>3</Pages>
  <Words>1154</Words>
  <Characters>5999</Characters>
  <CharactersWithSpaces>7131</CharactersWithSpaces>
  <Paragraphs>25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2024-07-31T18:03:00Z</dcterms:created>
  <dc:creator>usuariolocal</dc:creator>
  <dc:description/>
  <dc:language>es-ES</dc:language>
  <cp:lastModifiedBy/>
  <cp:lastPrinted>2025-04-07T08:57:00Z</cp:lastPrinted>
  <dcterms:modified xsi:type="dcterms:W3CDTF">2025-04-12T14:26:50Z</dcterms:modified>
  <cp:revision>87</cp:revision>
  <dc:subject/>
  <dc:title/>
</cp:coreProperties>
</file>

<file path=docProps/custom.xml><?xml version="1.0" encoding="utf-8"?>
<Properties xmlns="http://schemas.openxmlformats.org/officeDocument/2006/custom-properties" xmlns:vt="http://schemas.openxmlformats.org/officeDocument/2006/docPropsVTypes"/>
</file>